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41.png" ContentType="image/png"/>
  <Override PartName="/word/media/rId36.png" ContentType="image/png"/>
  <Override PartName="/word/media/rId37.png" ContentType="image/png"/>
  <Override PartName="/word/media/rId35.png" ContentType="image/png"/>
  <Override PartName="/word/media/rId40.png" ContentType="image/png"/>
  <Override PartName="/word/media/rId43.png" ContentType="image/png"/>
  <Override PartName="/word/media/rId39.png" ContentType="image/png"/>
  <Override PartName="/word/media/rId3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supplement"/>
      <w:r>
        <w:t xml:space="preserve">Supplement</w:t>
      </w:r>
      <w:bookmarkEnd w:id="30"/>
    </w:p>
    <w:p>
      <w:pPr>
        <w:pStyle w:val="Heading1"/>
      </w:pPr>
      <w:bookmarkStart w:id="31" w:name="X58b2c5e5afb581fa03fb14296175705d714ed91"/>
      <w:r>
        <w:t xml:space="preserve">Case study: Application of the landscape model to the San Gabriel River watershed</w:t>
      </w:r>
      <w:bookmarkEnd w:id="31"/>
    </w:p>
    <w:p>
      <w:pPr>
        <w:pStyle w:val="FirstParagraph"/>
      </w:pPr>
      <w:r>
        <w:t xml:space="preserve">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 S</w:t>
      </w:r>
      <w:r>
        <w:t xml:space="preserve">4</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Groundwater recharge areas are present in the middle of the watershed where water is allowed to spread beyond the main channel for subsurface infiltration during high flow events.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Application of the landscape model results to the CSCI scores provided biological expectations consistent with the strong land use gradient in the watershed (Figure S</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 S</w:t>
      </w:r>
      <w:r>
        <w:t xml:space="preserve">5</w:t>
      </w:r>
      <w:r>
        <w:t xml:space="preserve">b).</w:t>
      </w:r>
    </w:p>
    <w:p>
      <w:pPr>
        <w:pStyle w:val="BodyText"/>
      </w:pPr>
      <w:r>
        <w:t xml:space="preserve">The stakeholder group identified management priorities based on observed CSCI scores and results from the landscape model. A template that showed how observed CSCI scores may compare (i.e., under-scored, expected, over-scoring, or above/below biological objective) to segment classifications (i.e., constrained, unconstrained) was provided to the stakeholder to assign priorities among the various outcomes (rows 1-16, Figure S2, left side) that could occur with actual data. The three priorities (Table S1)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 S</w:t>
      </w:r>
      <w:r>
        <w:t xml:space="preserve">1</w:t>
      </w:r>
      <w:r>
        <w:t xml:space="preserve"> </w:t>
      </w:r>
      <w:r>
        <w:t xml:space="preserve">shows examples of the priority recommendations and sites for which they applied.</w:t>
      </w:r>
    </w:p>
    <w:p>
      <w:pPr>
        <w:pStyle w:val="BodyText"/>
      </w:pPr>
      <w:r>
        <w:t xml:space="preserve">The SCAPE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 S</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32" w:name="tecolate-creek-example"/>
      <w:r>
        <w:t xml:space="preserve">Tecolate Creek example</w:t>
      </w:r>
      <w:bookmarkEnd w:id="32"/>
    </w:p>
    <w:p>
      <w:pPr>
        <w:pStyle w:val="FirstParagraph"/>
      </w:pPr>
      <w:r>
        <w:t xml:space="preserve">For example, Tecolote Creek (San Diego County, USA) was identified by our model as a constrained channel in an urban landscape (Figure S</w:t>
      </w:r>
      <w:r>
        <w:t xml:space="preserve">9</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w:t>
      </w:r>
    </w:p>
    <w:p>
      <w:pPr>
        <w:pStyle w:val="Heading1"/>
      </w:pPr>
      <w:bookmarkStart w:id="33" w:name="supplemental-tables"/>
      <w:r>
        <w:t xml:space="preserve">Supplemental tables</w:t>
      </w:r>
      <w:bookmarkEnd w:id="33"/>
    </w:p>
    <w:p>
      <w:pPr>
        <w:pStyle w:val="TableCaption"/>
      </w:pPr>
      <w:r>
        <w:t xml:space="preserve">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w:t>
      </w:r>
    </w:p>
    <w:tbl>
      <w:tblPr>
        <w:tblStyle w:val="Table"/>
        <w:tblW w:type="pct" w:w="0.0"/>
        <w:tblLook w:firstRow="1"/>
        <w:tblCaption w:val="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Heading1"/>
      </w:pPr>
      <w:bookmarkStart w:id="34" w:name="supplemental-figures"/>
      <w:r>
        <w:t xml:space="preserve">Supplemental figures</w:t>
      </w:r>
      <w:bookmarkEnd w:id="34"/>
    </w:p>
    <w:p>
      <w:pPr>
        <w:pStyle w:val="CaptionedFigure"/>
      </w:pPr>
      <w:r>
        <w:drawing>
          <wp:inline>
            <wp:extent cx="5943600" cy="2971800"/>
            <wp:effectExtent b="0" l="0" r="0" t="0"/>
            <wp:docPr descr="Figure 1 Relationship of predictor variables (watershed only, see Table 1) with stream classes. The top plot (a) shows boxplot distributions (median, interquartile ranges, and outliers) and the bottom plot (b) shows the relationship with CSCI scores. All x-axes are in log-scale." title="" id="1" name="Picture"/>
            <a:graphic>
              <a:graphicData uri="http://schemas.openxmlformats.org/drawingml/2006/picture">
                <pic:pic>
                  <pic:nvPicPr>
                    <pic:cNvPr descr="figs/prddst.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Relationship of predictor variables (watershed only, see Table 1) with stream classes. The top plot (a) shows boxplot distributions (median, interquartile ranges, and outliers) and the bottom plot (b) shows the relationship with CSCI scores. All x-axes are in log-scale.</w:t>
      </w:r>
    </w:p>
    <w:p>
      <w:pPr>
        <w:pStyle w:val="CaptionedFigure"/>
      </w:pPr>
      <w:r>
        <w:drawing>
          <wp:inline>
            <wp:extent cx="5943600" cy="7315200"/>
            <wp:effectExtent b="0" l="0" r="0" t="0"/>
            <wp:docPr descr="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 title="" id="1" name="Picture"/>
            <a:graphic>
              <a:graphicData uri="http://schemas.openxmlformats.org/drawingml/2006/picture">
                <pic:pic>
                  <pic:nvPicPr>
                    <pic:cNvPr descr="figs/perffig.png" id="0" name="Picture"/>
                    <pic:cNvPicPr>
                      <a:picLocks noChangeArrowheads="1" noChangeAspect="1"/>
                    </pic:cNvPicPr>
                  </pic:nvPicPr>
                  <pic:blipFill>
                    <a:blip r:embed="rId36"/>
                    <a:stretch>
                      <a:fillRect/>
                    </a:stretch>
                  </pic:blipFill>
                  <pic:spPr bwMode="auto">
                    <a:xfrm>
                      <a:off x="0" y="0"/>
                      <a:ext cx="5943600" cy="7315200"/>
                    </a:xfrm>
                    <a:prstGeom prst="rect">
                      <a:avLst/>
                    </a:prstGeom>
                    <a:noFill/>
                    <a:ln w="9525">
                      <a:noFill/>
                      <a:headEnd/>
                      <a:tailEnd/>
                    </a:ln>
                  </pic:spPr>
                </pic:pic>
              </a:graphicData>
            </a:graphic>
          </wp:inline>
        </w:drawing>
      </w:r>
    </w:p>
    <w:p>
      <w:pPr>
        <w:pStyle w:val="ImageCaption"/>
      </w:pPr>
      <w:r>
        <w:t xml:space="preserve">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w:t>
      </w:r>
    </w:p>
    <w:p>
      <w:pPr>
        <w:pStyle w:val="CaptionedFigure"/>
      </w:pPr>
      <w:r>
        <w:drawing>
          <wp:inline>
            <wp:extent cx="5504749" cy="5504749"/>
            <wp:effectExtent b="0" l="0" r="0" t="0"/>
            <wp:docPr descr="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w:t>
      </w:r>
    </w:p>
    <w:p>
      <w:pPr>
        <w:pStyle w:val="CaptionedFigure"/>
      </w:pPr>
      <w:r>
        <w:drawing>
          <wp:inline>
            <wp:extent cx="5504749" cy="7339665"/>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3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4033157"/>
            <wp:effectExtent b="0" l="0" r="0" t="0"/>
            <wp:docPr descr="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4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6523867"/>
            <wp:effectExtent b="0" l="0" r="0" t="0"/>
            <wp:docPr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title="" id="1" name="Picture"/>
            <a:graphic>
              <a:graphicData uri="http://schemas.openxmlformats.org/drawingml/2006/picture">
                <pic:pic>
                  <pic:nvPicPr>
                    <pic:cNvPr descr="figs/app.png" id="0" name="Picture"/>
                    <pic:cNvPicPr>
                      <a:picLocks noChangeArrowheads="1" noChangeAspect="1"/>
                    </pic:cNvPicPr>
                  </pic:nvPicPr>
                  <pic:blipFill>
                    <a:blip r:embed="rId41"/>
                    <a:stretch>
                      <a:fillRect/>
                    </a:stretch>
                  </pic:blipFill>
                  <pic:spPr bwMode="auto">
                    <a:xfrm>
                      <a:off x="0" y="0"/>
                      <a:ext cx="5943600" cy="6523867"/>
                    </a:xfrm>
                    <a:prstGeom prst="rect">
                      <a:avLst/>
                    </a:prstGeom>
                    <a:noFill/>
                    <a:ln w="9525">
                      <a:noFill/>
                      <a:headEnd/>
                      <a:tailEnd/>
                    </a:ln>
                  </pic:spPr>
                </pic:pic>
              </a:graphicData>
            </a:graphic>
          </wp:inline>
        </w:drawing>
      </w:r>
    </w:p>
    <w:p>
      <w:pPr>
        <w:pStyle w:val="ImageCaption"/>
      </w:pPr>
      <w:r>
        <w:t xml:space="preserve">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w:t>
      </w:r>
      <w:r>
        <w:t xml:space="preserve"> </w:t>
      </w:r>
      <w:hyperlink r:id="rId42">
        <w:r>
          <w:rPr>
            <w:rStyle w:val="Hyperlink"/>
          </w:rPr>
          <w:t xml:space="preserve">http://shiny.sccwrp.org/scape/</w:t>
        </w:r>
      </w:hyperlink>
      <w:r>
        <w:t xml:space="preserve">.</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43"/>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4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45" w:name="references"/>
      <w:r>
        <w:t xml:space="preserve">References</w:t>
      </w:r>
      <w:bookmarkEnd w:id="45"/>
    </w:p>
    <w:bookmarkStart w:id="48" w:name="refs"/>
    <w:bookmarkStart w:id="47"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46">
        <w:r>
          <w:rPr>
            <w:rStyle w:val="Hyperlink"/>
          </w:rPr>
          <w:t xml:space="preserve">https://www.waterboards.ca.gov/water_issues/programs/swamp/bioassessment/docs/physical_habitat_index_technical_memo.pdf</w:t>
        </w:r>
      </w:hyperlink>
      <w:r>
        <w:t xml:space="preserve">.</w:t>
      </w:r>
    </w:p>
    <w:bookmarkEnd w:id="47"/>
    <w:bookmarkEnd w:id="4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hyperlink" Id="rId42" Target="http://shiny.sccwrp.org/scape/" TargetMode="External" /><Relationship Type="http://schemas.openxmlformats.org/officeDocument/2006/relationships/hyperlink" Id="rId46"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2" Target="http://shiny.sccwrp.org/scape/" TargetMode="External" /><Relationship Type="http://schemas.openxmlformats.org/officeDocument/2006/relationships/hyperlink" Id="rId46"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2019-05-08T18:07:52Z</dcterms:created>
  <dcterms:modified xsi:type="dcterms:W3CDTF">2019-05-08T18:07:52Z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